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0AACB" w14:textId="59BA2902" w:rsidR="00DE04DA" w:rsidRDefault="00A706C6">
      <w:pPr>
        <w:rPr>
          <w:noProof/>
        </w:rPr>
      </w:pPr>
      <w:r>
        <w:rPr>
          <w:noProof/>
        </w:rPr>
        <w:drawing>
          <wp:inline distT="0" distB="0" distL="0" distR="0" wp14:anchorId="0785588C" wp14:editId="2DB88FAD">
            <wp:extent cx="5943600" cy="594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D3DDD" w14:textId="149FC4C8" w:rsidR="00A706C6" w:rsidRPr="00A706C6" w:rsidRDefault="00A706C6" w:rsidP="00A706C6">
      <w:pPr>
        <w:jc w:val="both"/>
      </w:pPr>
      <w:r>
        <w:t xml:space="preserve">Supplementary figure 1. Harrell’s C-index of different models. Note: </w:t>
      </w:r>
      <w:r w:rsidRPr="00A706C6">
        <w:t>Note: Conventional model was adjusted for age, gender, marital status, job status, educational level, smoking, eGFR, BMI, hypertension, diabetes mellitus, dyslipidemia, family history of CVD and statin use.</w:t>
      </w:r>
    </w:p>
    <w:sectPr w:rsidR="00A706C6" w:rsidRPr="00A70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C6"/>
    <w:rsid w:val="003B6791"/>
    <w:rsid w:val="00466EF5"/>
    <w:rsid w:val="00A706C6"/>
    <w:rsid w:val="00DE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18FE7"/>
  <w15:chartTrackingRefBased/>
  <w15:docId w15:val="{FD0D0F8D-6694-4D4B-B5F9-33696B90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Tajik</dc:creator>
  <cp:keywords/>
  <dc:description/>
  <cp:lastModifiedBy>Ali Tajik</cp:lastModifiedBy>
  <cp:revision>2</cp:revision>
  <dcterms:created xsi:type="dcterms:W3CDTF">2025-10-01T18:36:00Z</dcterms:created>
  <dcterms:modified xsi:type="dcterms:W3CDTF">2025-10-02T07:15:00Z</dcterms:modified>
</cp:coreProperties>
</file>